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7675" cy="60896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w:t>
      </w:r>
      <w:r w:rsidDel="00000000" w:rsidR="00000000" w:rsidRPr="00000000">
        <w:rPr>
          <w:b w:val="1"/>
          <w:sz w:val="24"/>
          <w:szCs w:val="24"/>
          <w:rtl w:val="0"/>
        </w:rPr>
        <w:t xml:space="preserve">25 жовтня</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2022 року                         м. Сквира                                          №</w:t>
      </w:r>
      <w:r w:rsidDel="00000000" w:rsidR="00000000" w:rsidRPr="00000000">
        <w:rPr>
          <w:b w:val="1"/>
          <w:sz w:val="24"/>
          <w:szCs w:val="24"/>
          <w:rtl w:val="0"/>
        </w:rPr>
        <w:t xml:space="preserve">05-25-VІІІ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521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11"/>
        <w:tblGridChange w:id="0">
          <w:tblGrid>
            <w:gridCol w:w="5211"/>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 підготовку комунальних закладів, установ та підприємств до роботи в осінньо-зимовий період 2022</w:t>
            </w: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2023 року</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Заслухавши та обговоривши інформацію начальниці відділу капітального будівництва, комунальної власності та житлово-комунального господарства Сквирської міської ради Капітанюк Н.М. «Про підготовку комунальних закладів, установ та підприємств до роботи в осінньо-зимовий період 2022/2023 року</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відповідно до ст.26 Закону України «Про місцеве самоврядування в Україні»,</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Законів України «Про житлово-комунальні послуги», «Про теплопостачання», «Про питну воду, питне водопостачання та водовідведення», з метою виконання заходів</w:t>
      </w:r>
      <w:r w:rsidDel="00000000" w:rsidR="00000000" w:rsidRPr="00000000">
        <w:rPr>
          <w:rFonts w:ascii="Times New Roman" w:cs="Times New Roman" w:eastAsia="Times New Roman" w:hAnsi="Times New Roman"/>
          <w:b w:val="0"/>
          <w:i w:val="0"/>
          <w:smallCaps w:val="0"/>
          <w:strike w:val="0"/>
          <w:color w:val="202020"/>
          <w:sz w:val="24"/>
          <w:szCs w:val="24"/>
          <w:highlight w:val="white"/>
          <w:u w:val="none"/>
          <w:vertAlign w:val="baseline"/>
          <w:rtl w:val="0"/>
        </w:rPr>
        <w:t xml:space="preserve"> з підготовки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підприємств житлово-комунального господарства та об’єктів соціальної сфери Сквирської міської територіальної громади до роботи в осінньо-зимовий період 2022/2023 року, затверджених рішенням виконавчого комітету  від 07.06.2022 №4/14, забезпечення стабільної роботи підприємств житлово-комунального господарства та об’єктів соціальної сфери в осінньо-зимовий період 2022</w:t>
      </w:r>
      <w:r w:rsidDel="00000000" w:rsidR="00000000" w:rsidRPr="00000000">
        <w:rPr>
          <w:sz w:val="24"/>
          <w:szCs w:val="24"/>
          <w:highlight w:val="whit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2023 року,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враховуючи пропозиції постійної комісії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92.12598425196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r w:rsidDel="00000000" w:rsidR="00000000" w:rsidRPr="00000000">
        <w:rPr>
          <w:sz w:val="24"/>
          <w:szCs w:val="24"/>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Взяти до відома інформацію начальниці відділу капітального будівництва, комунальної власності та житлово-комунального господарства Сквирської міської ради Капітанюк Н.М. «Про підготовку комунальних закладів, установ та підприємств до роботи в осінньо-зимовий період 2022/2023 року</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(додається).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92.12598425196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r w:rsidDel="00000000" w:rsidR="00000000" w:rsidRPr="00000000">
        <w:rPr>
          <w:sz w:val="24"/>
          <w:szCs w:val="24"/>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Керівникам комунальних закладів, установ та підприємств забезпечити безумовне виконання заходів з підготовки до роботи в осінньо-зимовий період 2022/2023 року.</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2.1259842519685"/>
        </w:tabs>
        <w:spacing w:after="0" w:before="0" w:line="240" w:lineRule="auto"/>
        <w:ind w:left="0" w:right="0" w:firstLine="57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sz w:val="24"/>
          <w:szCs w:val="24"/>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Покласти персональну відповідальність на керівників закладів, установ та підприємств за своєчасний початок та стале проходження опалювального періоду, безперебійну подачу теплоносіїв до об’єктів соціальної сфери, в бюджетні установи та організації.</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92.12598425196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rPr>
          <w:sz w:val="24"/>
          <w:szCs w:val="24"/>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 директора комунального підприємства «Сквираблагоустрій» Пінчуку О.М. організувати та забезпечити своєчасне виконання робіт з утримання вулично-дорожньої мережі в осінньо-зимовий період 2022/2023 року.</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efefe" w:val="clear"/>
        <w:tabs>
          <w:tab w:val="left" w:pos="992.125984251968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rPr>
          <w:sz w:val="24"/>
          <w:szCs w:val="24"/>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2.1259842519685"/>
        </w:tabs>
        <w:spacing w:after="0" w:before="0" w:line="240" w:lineRule="auto"/>
        <w:ind w:left="0" w:right="0" w:firstLine="66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8"/>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6.2204724409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6.2204724409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6.2204724409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6.2204724409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sz w:val="24"/>
          <w:szCs w:val="24"/>
          <w:rtl w:val="0"/>
        </w:rPr>
        <w:t xml:space="preserve">в</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ід </w:t>
      </w:r>
      <w:r w:rsidDel="00000000" w:rsidR="00000000" w:rsidRPr="00000000">
        <w:rPr>
          <w:b w:val="1"/>
          <w:sz w:val="24"/>
          <w:szCs w:val="24"/>
          <w:rtl w:val="0"/>
        </w:rPr>
        <w:t xml:space="preserve">25.10.2022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b w:val="1"/>
          <w:sz w:val="24"/>
          <w:szCs w:val="24"/>
          <w:rtl w:val="0"/>
        </w:rPr>
        <w:t xml:space="preserve">05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-25 -VIII</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hanging="567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Інформація</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 підготовку комунальних закладів, установ та підприємств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роботи в осінньо-зимовий період 2022</w:t>
      </w:r>
      <w:r w:rsidDel="00000000" w:rsidR="00000000" w:rsidRPr="00000000">
        <w:rPr>
          <w:b w:val="1"/>
          <w:sz w:val="24"/>
          <w:szCs w:val="24"/>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2023 року</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Відділ освіти Сквирської міської ради</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Триває підготовка закладів освіти до опалювального сезону. Зокрема, у 13 газових котельнях проведено повірку манометрів, газосигналізаторів, спрацювання електромагнітних клапанів та димовентиляційних каналів.  Котельні господарства закладів освіти Сквирської міської ради готові на 85%.  Проведено повірку вузла обліку газу Сквирського академічного ліцею «Перспектива». Газовий лічильник Сквирського ЗДО №6 «Ромашка» не пройшов повірку в АТ «Київоблгаз» та відправлений на ремонт на завод «Арсенал». Після ремонту буде встановлено в котельні ЗДО №6.  Укладено договір на придбання та заміну трьох циркуляційних насосів для Чубинецького НВК, Тхорівської філії Сквирського академічного ліцею №2 та Сквирського ЦДЮТ. Проведено  поточний ремонт димоходу Рудянського ЗДО «Сонечко». Проводяться переговори щодо закупівлі паливних брикетів для опалення Сквирського НВК №5 та тюків для опалення Оріховецького НВК. Проблемними питаннями залишаються ремонт димоходу котельні Сквирського академічного ліцею «Перспектива», ремонт системи опалення Сквирського ЗДО №6, ремонт котлів Сквирського НВК №5 (електрозварювальні роботи) та заміна одного котла у Сквирському ЗДО №2.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Акти готовності  теплових котелень закладів освіти до роботи в осінньо-зимовий період надають у відділ освіти орендарі котелень та власники теплового устаткування, призначеного для виробництва теплової енергії , якими до  складу комісій буде включено інспектора з енергетичного нагляду відділу енергетичного нагляду Управління Держенергонагляду відповідно Правил підготовки теплових господарств до опалювального періоду, затверджених спільним наказом Міністерства палива та енергетики України і Міністерства з питань житлово-комунального господарства України від  10.12.2008 № 620/378.</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Обхідні листи про надання документів та узгодження з АТ "Київоблгаз" та Акт готовності газового обладнання сезонної дії на опалювальний період 2022-23 р. для котелень , які опалюються природним газом ,будуть підписані безпосередньо перед початком опалювального сезону (орієнтовно до 25.10.2022 р.).</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Відділ культури, молоді та спорту Сквирської міської ради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відділі культури, молоді і спорту на балансі перебуває дві котельні: котельня дитячої школи мистецтв, яка обслуговує дитячу школу мистецтв, та теплогенераторна міського Будинку культури, яка обслуговує міський Будинок культури, Центральну міську та дитячу бібліотеки, а також міський народний краєзнавчий музей.</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 час опалювального сезону на обох котельнях проводиться технічне обслуговування спеціалізованими підприємствами, які мають відповідні дозволи на провадження такої діяльності.</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Котельня дитячої школи мистецтв перебуває у задовільному стані. У минулому опалювальному сезоні усі компоненти працювали справно.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Теплогенераторна міського Будинку культури перебуває у задовільному стані. У минулому опалювальному сезоні пройшов випробування новий котел. Газове обладнання працює справно, технічне обслуговування проводиться вчасно.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Протягом вересня 2022 року було проведено: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перезарядку вогнегасників;</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заміну на нову насосної станції для ефективнішої роботи системи у котельні ДШМ;</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повірку сигналізатора газу та манометрів системи опалення;</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заміри опору ізоляції;</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перевірку наявності кіл між заземлювачами і елементами, що заземлюються;</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перевірку системи блискавкозахисту;</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перевірку значення повного опору петлі «фаза-нуль»;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перевірку кратності повітрообміну;</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перевірка вентиляційно-димових  каналів;</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навчання оператора та відповідального за газове господарство.</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Укладено договори на технічне обслуговування газового обладнання та на технічне обслуговування ВОГ, на обслуговування газопроводів.</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Акти готовності газового обладнання сезонної дії на опалювальний період 2022/2023 року в обох установах підписані усіма відповідальними службами, залишився тільки пуск котелень. Обидві установи повністю укомплектували справи по готовності котелень для газового господарства.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міжопалювальний період була проведена підготовка підприємства до опалювального сезону. Підготовка котельні здійснювалась працівниками підрядної організації, яка надає послуги теплопостачання. Проведено ремонт даху котельні та поточний ремонт котлів. Акт готовності до опалювального сезону підписаний </w:t>
      </w:r>
      <w:r w:rsidDel="00000000" w:rsidR="00000000" w:rsidRPr="00000000">
        <w:rPr>
          <w:sz w:val="24"/>
          <w:szCs w:val="24"/>
          <w:rtl w:val="0"/>
        </w:rPr>
        <w:t xml:space="preserve">всіма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сторонами 4.10.2022. Протягом літа за рахунок власних коштів підприємства було проведено ремонт теплотраси педіатричного відділення, гаражів та харчоблоку (приблизно 46 тис. грн.). Замінено та опломбовано усі вузли обліку водопостачання на кожному корпусі (кошти підприємства).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Проведено велику організаційну роботу щодо економії ресурсів води. Проведено поточні ремонти сантехнічного обладнання у поліклінічному та хірургічному корпусах. Згідно рішення виконавчого комітету затверджено ліміти споживання енергоносіїв та розділено їх між організаціями, які розташовані на території центральної міської лікарні. Проведено згідно відкритих торгів закупівлю теплової енергії.</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Комунальне некомерційне підприємство Сквирської міської ради «Сквирський міський центр первинної медико-санітарної допомоги»</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міжопалювальний період була проведена підготовка АЗПСМ та ФП  підприємства до опалювального сезону. За власні кошти підприємства проведено перевірку димовентиляційних каналів, перевірку кратності повітрообміну, перевірку електромагнітного клапану безпеки, перевірку герметизації інженерних вводів, перевірку газосигналізаторів (на суму 8244,28 грн.). За рахунок власних коштів підприємства було проведено заміри опору ізоляції у всіх АЗПСМ на суму 20378,39 грн. Замінено та опломбовано вузли обліку водопостачання на кожній будівлі підприємства (власні кошти у сумі 7086,00 грн.), проведено навчання з охорони праці з газовим обладнанням до опалювального сезону (на суму 5800,00 грн.).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Згідно рішення виконавчого комітету затверджено ліміти споживання енергоносіїв. Проведено роботи щодо економії ресурсів води, проведено поточні ремонти сантехнічного обладнання у приміщеннях підприємства.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АЗПСМ с.Шамраївка, с.Пустоварівка та с.Чубинці опалюються електричною енергією (укладено договір постачання електричної енергії).</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АЗПСМ с.Кривошиїнці, будівля старої амбулаторії с.Шамраївка, ФП с.Лаврики, ФП с.Шаліївка, ФП с.Антонів опалюються природним газом (укладено договір постачання та розподілу природного газу). В фельдшерському пункті с.Антонів проводиться поточний ремонт топочної – заміна котла. Фельдшерські пункти твердим паливом забезпечені на 100%.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приміщеннях по вул.Київська, 12 в м.Сквира, які перебувають в оперативному управлінні та на балансі  підприємства, планується встановити теплові лічильники та підписати договір на постачання теплової енергії до кінця 2022 року.</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Комунальна установа Сквирської міської ради «Центр надання соціальних послуг»</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Перевірено технічний стан протипожежної сигналізації, первинних засобів пожежогасіння відділення стаціонарного догляду. Згідно нормативів укомплектовано два протипожежні щити, в наявності 22  вогнегасники,  протигаз ГП -7 -30 шт.</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Перевірено стан готовності опалювальних котлів до роботи в відділенні стаціонарного догляду – два котли Титан – 105. Є генератор «Бригадир -3», потужності якого вистачить лише  для освітлення.</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Проводиться заготовка овочів та консервації для підопічних відділення стаціонарного догляду -  закуплено: картопля 3000 кг, цибуля – 400 кг, буряк столовий – 300 кг, капуста – 700 кг, морква – 400 кг.</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На обліку в відділення соціально допомоги вдома перебуває 415 громадян, які не здатні до самообслуговування, 117 домогосподарств на твердому опаленні,  з них 19 частково забезпечено дровами, всі громадяни отримали допомога в оформленні субсидій та пільг.</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Здійснена перевірка всіх сімей, які перебувають в складних життєвих обставинах, на готовність до опалювального сезону, наявність  сезонного одягу у дітей. На обліку перебуває 64 сім</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ї, у всіх є мінімальна наявність дрів, допомогу в придбанні твердого палива  потребують 17 сімей, проводиться роз’яснювальна робота по експлуатації пічного опалення.</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Фахівцями з соціальної роботи здійснюються заходи щодо недопущення заборгованості за енергоносії в сім’ях, які перебувають  в складних життєвих обставинах – проведено обстеження 64  сімей.</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t xml:space="preserve">Адміністрацією центру та відділенням стаціонарного догляду здійснюється контроль щодо економного  використанням електроенергії.</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Комунальне підприємство «Сквираблагоустрій»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Одним із ключових видів діяльності комунального підприємства «Сквираблагоустрій» є поточне та зимове утримання дорожньої мережі відповідно до «Програми утримання та розвитку дорожнього господарства  Сквирської міської територіальної громади на 2021-2025 роки», затвердженої рішенням Сквирської міської ради № 16-3-VІІІ від 22.12.2020 року.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Протягом 2022 року  на утримання та розвиток автомобільних доріг та дорожньої інфраструктури – поточний ремонт виділено з місцевого бюджету 1464,4 тис. грн. при запланованих 1600, тис. грн. Проведено поточний ремонт дорожнього покриття білощебеневою сумішшю таких вулиць:</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Короленка в м. Сквира - 300 м (вартість робіт 191 371,20 грн.);</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Вишнева в м. Сквира  — 292 м (вартість робіт 166 388,18 грн.);</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Лесі Українки в м. Сквира — 300 м (вартість робіт 167 990,40 грн.);</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Некрасова в м. Сквира  — 300 м (вартість робіт 170 813,59 грн.);</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Партизанська в с. Дулицьке — 680 м  (вартість робіт 167 900 грн.).</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Проведено поточний ремонт дорожнього покриття асфальтуванням таких вулиць:</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Максима Рильського в м. Сквира – 160 м2 (вартість 218 132,15  грн.);</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Липовецька в м. Сквира – 280 м2 (вартість 381 782,41 грн.).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Підприємством розроблено та затверджено на виконавчому комітеті Сквирської міської ради обсяги організації благоустрою територіальної громади (включаючи і кладовища) та схему  проведення заходів по зимовому утриманню доріг з визначенням першочергових та небезпечних ділянок.</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забезпечення своєчасного і оперативного здійснення заходів по  утриманню дорожньої мережі - посипці, розчищенню доріг та тротуарів міста від снігових заметів та ожеледиці в зимовий період 2022/2023 року здійснюватиметься  цілодобове чергування водіїв та інженерно-технічного персоналу.</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Спеціалізована техніка – 2 автомобілі ЗІЛ КДМ для розчищення та посипання дорожньої мережі  відремонтовані та законсервовані. При необхідності буде залучатися інша техніка – трактор ФОТОН, трактор МТЗ-80, трактор МТЗ-82.  Ця техніка задіяна в роботі щоденно на протязі року, тому технічний стан її задовільний.</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Планується, що на ділянках, де неможливо застосувати механізми, або при їх тимчасовій зайнятості, будуть проводитися роботи з ручного прибирання: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оброблення покриття технологічними матеріалами, що запобігають утворенню ожеледі та сприяють її ліквідації;</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згрібання снігу, підмітання снігу;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розчищення снігових валів, видалення снігу;</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сколювання та видалення льоду.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виконання зазначених робіт підприємство забезпечене ручним інвентарем – лопатами, мітлами, щітками тощо.</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Проведено процедуру закупівлі солі технічної в кількості 24 тони на загальну суму з перевезенням  271,9 тис. грн. Укладено договір із постачальником ТОВ «АРІАЛ АЛЬЯНС». Укладено прямий договір на придбання відсіву із ТОВ «ШГК» в кількості  199тонн на загальну суму 49,8 тис. грн. Приготування протиожеледної суміші підприємство буде  проводити власними силами,</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безперебійної роботи техніки в зимовий період підприємством укладено договір на придбання бензину А-95 в кількості 1150 л та дизельного  пального 750 л на загальну суму 100 тис. грн.</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Протягом 2022  року проводилася робота, спрямована на забезпечення потреб споживачів на території Сквирської міської територіальної громади з якими укладено Договір «Про надання послуг з управління багатокватирним будинком». Зокрема проводилась робота з підготовки багатоквартирних будинків до осінньо-зимового періоду.</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 час підготовки житлових будинків м.Сквира до осінньо-зимового періоду спеціалістами КП «Сквирське комунальне господарство» проведено такі роботи: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замуровування слухових вікон у підвальних приміщеннях в 21 будинку (вул.Ш.Алейхема, №6, вул.Горького, №3, №3а, вул.Богачевського, №17, №15, №53, №60, №58, №57, №49, №47, №31, пров.Каштановий, №6, №9, №17, вул.Київський, №5, вул.Соборна, №8, №11, №19, вул.Шевченка, №35, вул.Набережна, №21);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частковий ремонт вхідних дверей у підвальних приміщеннях та утеплення труб мережі водопостачання з метою запобігання їх розмерзання при низьких температурах узимку в 35 будинках (вул.Ш.Алейхема, №6, вул.Горького, №3, №3а, вул.Богачевського, №17, №15, №53, №62, №60, №57, №48, №49, №31, пров.Каштановий, №6, №15, №9, №17, вул.Київський, №5, вул.Незалежності, №145, №147, вул.Соборна, №8, №11, №19, №29, вул.Шевченка, №35, вул.Набережна, №21, №23, №15, №13, №1, вул.М.Рильського, №52, №49, №48, №34, пров.Ф.Садів, №7, вул.Липовецька, №85);</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очистка та частковий ремонт зливових систем у 14 багатоповерхових будинках  (вул.Горького, №3а, вул.Богачевського, №17, №15, №51, №53, пров.Каштановий, №6, №15, вул.Київський, №5, вул.Незалежності, №145, №147, вул.Соборна, №8, №11, №19,  вул.Шевченка, №35);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забивання слухових вікон з метою уникнення попадання снігу та дощу на горища будинків, всього 41 будинок (вул.Ш.Алейхема, №4, №6, вул.Горького, №3, №3а, вул.Богачевського, №17, №15, №51, №53, №62, №60, №58, №57, №48, №49, №47, №31, пров.Каштановий, №6, №15, №9, №17, вул.Київський, №5, вул.Незалежності, №145, №147, вул.Соборна, №8, №11, №19, №29, вул.Шевченка, №35, вул.Набережна, №21, №23, №15, №13, №7, №1, вул.М.Рильського, №52, №49, №48, №47, №34, пров.Ф.Садів, №7, вул.Липовецька, №85);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41 будинку (вул.Ш.Алейхема, №4, №6, вул.Горького, №3, №3а, вул.Богачевського, №17, №15, №51, №53, №62, №60, №58, №57, №48, №49, №47, №31, пров.Каштановий, №6, №15, №9, №17, вул.Київський, №5, вул.Незалежності, №145, №147, вул.Соборна, №8, №11, №19, №29, вул.Шевченка, №35, вул.Набережна, №21, №23, №15, №13, №7, №1, вул.М.Рильського, №52, №49, №48, №47, №34, пров.Ф.Садів, №7, вул.Липовецька, №85)  перевірено внутрішньо-будинкові електромережі, запобіжники, електричні з’єднання та установки розгалуження електричних мереж. У розподільчих шафах встановлено запобіжники номіналом 50, 100 та 150А відповідно до вимог Правил технічної експлуатації електроустановок та споживачів. Безпосередньо за межею обліку споживання електроенергії (лічильником) кожна квартира обладнана автоматичними вимикачами напруги номіналом 10А та 16А, що унеможливлює перенавантаження мережі електроспоживання.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Комунальне підприємство «Сквир-водоканал»</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Станом на 01.10.2022 підготовка об’єктів водопровідно-каналізаційного господарства до роботи в осінньо-зимовий період 2022/2023 року виконана в повному обсязі, а саме:</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водопровідна насосна станція (ВНС) – 100%;</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каналізаційні очисні споруди – 100%;</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каналізаційно-насосні станції – 100%;</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водопровідно-очисні споруди – 100%;</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свердловини – 100%.</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Заміну водопровідних та каналізаційних мереж не проводили.</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Роботи по реконструкції станції знезалізнення виконані на 50%.</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ind w:left="-142" w:firstLine="0"/>
        <w:rPr>
          <w:b w:val="1"/>
          <w:sz w:val="24"/>
          <w:szCs w:val="24"/>
        </w:rPr>
      </w:pPr>
      <w:r w:rsidDel="00000000" w:rsidR="00000000" w:rsidRPr="00000000">
        <w:rPr>
          <w:rtl w:val="0"/>
        </w:rPr>
      </w:r>
    </w:p>
    <w:p w:rsidR="00000000" w:rsidDel="00000000" w:rsidP="00000000" w:rsidRDefault="00000000" w:rsidRPr="00000000" w14:paraId="0000007A">
      <w:pPr>
        <w:ind w:left="-142" w:firstLine="0"/>
        <w:rPr>
          <w:b w:val="1"/>
          <w:sz w:val="24"/>
          <w:szCs w:val="24"/>
        </w:rPr>
      </w:pPr>
      <w:r w:rsidDel="00000000" w:rsidR="00000000" w:rsidRPr="00000000">
        <w:rPr>
          <w:rtl w:val="0"/>
        </w:rPr>
      </w:r>
    </w:p>
    <w:p w:rsidR="00000000" w:rsidDel="00000000" w:rsidP="00000000" w:rsidRDefault="00000000" w:rsidRPr="00000000" w14:paraId="0000007B">
      <w:pPr>
        <w:ind w:left="-142" w:firstLine="0"/>
        <w:rPr>
          <w:sz w:val="24"/>
          <w:szCs w:val="24"/>
        </w:rPr>
      </w:pPr>
      <w:r w:rsidDel="00000000" w:rsidR="00000000" w:rsidRPr="00000000">
        <w:rPr>
          <w:b w:val="1"/>
          <w:sz w:val="24"/>
          <w:szCs w:val="24"/>
          <w:rtl w:val="0"/>
        </w:rPr>
        <w:t xml:space="preserve">Начальниця відділу капітального будівництва, </w:t>
      </w:r>
      <w:r w:rsidDel="00000000" w:rsidR="00000000" w:rsidRPr="00000000">
        <w:rPr>
          <w:rtl w:val="0"/>
        </w:rPr>
      </w:r>
    </w:p>
    <w:p w:rsidR="00000000" w:rsidDel="00000000" w:rsidP="00000000" w:rsidRDefault="00000000" w:rsidRPr="00000000" w14:paraId="0000007C">
      <w:pPr>
        <w:ind w:left="-142" w:firstLine="0"/>
        <w:rPr>
          <w:b w:val="1"/>
          <w:sz w:val="24"/>
          <w:szCs w:val="24"/>
        </w:rPr>
      </w:pPr>
      <w:r w:rsidDel="00000000" w:rsidR="00000000" w:rsidRPr="00000000">
        <w:rPr>
          <w:b w:val="1"/>
          <w:sz w:val="24"/>
          <w:szCs w:val="24"/>
          <w:rtl w:val="0"/>
        </w:rPr>
        <w:t xml:space="preserve">комунального майна та житлово - комунального </w:t>
      </w:r>
    </w:p>
    <w:p w:rsidR="00000000" w:rsidDel="00000000" w:rsidP="00000000" w:rsidRDefault="00000000" w:rsidRPr="00000000" w14:paraId="0000007D">
      <w:pPr>
        <w:ind w:left="-142" w:firstLine="0"/>
        <w:rPr>
          <w:sz w:val="24"/>
          <w:szCs w:val="24"/>
        </w:rPr>
      </w:pPr>
      <w:r w:rsidDel="00000000" w:rsidR="00000000" w:rsidRPr="00000000">
        <w:rPr>
          <w:b w:val="1"/>
          <w:sz w:val="24"/>
          <w:szCs w:val="24"/>
          <w:rtl w:val="0"/>
        </w:rPr>
        <w:t xml:space="preserve">господарства міської ради                               </w:t>
        <w:tab/>
        <w:t xml:space="preserve">                                      Наталя Капітанюк</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color w:val="ff0000"/>
          <w:sz w:val="24"/>
          <w:szCs w:val="24"/>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992.1259842519685" w:left="1701" w:right="577.204724409448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Cambria" w:hAnsi="Cambria"/>
      <w:b w:val="1"/>
      <w:bCs w:val="1"/>
      <w:w w:val="100"/>
      <w:kern w:val="32"/>
      <w:position w:val="-1"/>
      <w:sz w:val="32"/>
      <w:szCs w:val="32"/>
      <w:effect w:val="none"/>
      <w:vertAlign w:val="baseline"/>
      <w:cs w:val="0"/>
      <w:em w:val="none"/>
      <w:lang w:bidi="ar-SA" w:eastAsia="und" w:val="und"/>
    </w:rPr>
  </w:style>
  <w:style w:type="paragraph" w:styleId="Заголовок2">
    <w:name w:val="Заголовок 2"/>
    <w:basedOn w:val="Звичайний"/>
    <w:next w:val="Звичайний"/>
    <w:autoRedefine w:val="0"/>
    <w:hidden w:val="0"/>
    <w:qFormat w:val="1"/>
    <w:pPr>
      <w:keepNext w:val="1"/>
      <w:suppressAutoHyphens w:val="1"/>
      <w:spacing w:after="60" w:before="240" w:line="1" w:lineRule="atLeast"/>
      <w:ind w:leftChars="-1" w:rightChars="0" w:firstLineChars="-1"/>
      <w:textDirection w:val="btLr"/>
      <w:textAlignment w:val="top"/>
      <w:outlineLvl w:val="1"/>
    </w:pPr>
    <w:rPr>
      <w:rFonts w:ascii="Cambria" w:hAnsi="Cambria"/>
      <w:b w:val="1"/>
      <w:bCs w:val="1"/>
      <w:i w:val="1"/>
      <w:iCs w:val="1"/>
      <w:w w:val="100"/>
      <w:position w:val="-1"/>
      <w:sz w:val="28"/>
      <w:szCs w:val="28"/>
      <w:effect w:val="none"/>
      <w:vertAlign w:val="baseline"/>
      <w:cs w:val="0"/>
      <w:em w:val="none"/>
      <w:lang w:bidi="ar-SA" w:eastAsia="und" w:val="und"/>
    </w:rPr>
  </w:style>
  <w:style w:type="paragraph" w:styleId="Заголовок3">
    <w:name w:val="Заголовок 3"/>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Cambria" w:hAnsi="Cambria"/>
      <w:b w:val="1"/>
      <w:bCs w:val="1"/>
      <w:w w:val="100"/>
      <w:position w:val="-1"/>
      <w:sz w:val="26"/>
      <w:szCs w:val="26"/>
      <w:effect w:val="none"/>
      <w:vertAlign w:val="baseline"/>
      <w:cs w:val="0"/>
      <w:em w:val="none"/>
      <w:lang w:bidi="ar-SA" w:eastAsia="und" w:val="und"/>
    </w:rPr>
  </w:style>
  <w:style w:type="paragraph" w:styleId="Заголовок4">
    <w:name w:val="Заголовок 4"/>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Calibri" w:hAnsi="Calibri"/>
      <w:b w:val="1"/>
      <w:bCs w:val="1"/>
      <w:w w:val="100"/>
      <w:position w:val="-1"/>
      <w:sz w:val="28"/>
      <w:szCs w:val="28"/>
      <w:effect w:val="none"/>
      <w:vertAlign w:val="baseline"/>
      <w:cs w:val="0"/>
      <w:em w:val="none"/>
      <w:lang w:bidi="ar-SA" w:eastAsia="und" w:val="und"/>
    </w:rPr>
  </w:style>
  <w:style w:type="character" w:styleId="Шрифтабзацузазамовчуванням">
    <w:name w:val="Шрифт абзацу за замовчуванням"/>
    <w:next w:val="Шрифтабзацузазамовчуванням"/>
    <w:autoRedefine w:val="0"/>
    <w:hidden w:val="0"/>
    <w:qFormat w:val="1"/>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rPr>
  </w:style>
  <w:style w:type="character" w:styleId="Заголовок3Знак">
    <w:name w:val="Заголовок 3 Знак"/>
    <w:next w:val="Заголовок3Знак"/>
    <w:autoRedefine w:val="0"/>
    <w:hidden w:val="0"/>
    <w:qFormat w:val="0"/>
    <w:rPr>
      <w:rFonts w:ascii="Cambria" w:cs="Times New Roman" w:hAnsi="Cambria"/>
      <w:b w:val="1"/>
      <w:bCs w:val="1"/>
      <w:w w:val="100"/>
      <w:position w:val="-1"/>
      <w:sz w:val="26"/>
      <w:szCs w:val="26"/>
      <w:effect w:val="none"/>
      <w:vertAlign w:val="baseline"/>
      <w:cs w:val="0"/>
      <w:em w:val="none"/>
      <w:lang/>
    </w:rPr>
  </w:style>
  <w:style w:type="character" w:styleId="Заголовок4Знак">
    <w:name w:val="Заголовок 4 Знак"/>
    <w:next w:val="Заголовок4Знак"/>
    <w:autoRedefine w:val="0"/>
    <w:hidden w:val="0"/>
    <w:qFormat w:val="0"/>
    <w:rPr>
      <w:rFonts w:ascii="Calibri" w:cs="Times New Roman" w:hAnsi="Calibri"/>
      <w:b w:val="1"/>
      <w:bCs w:val="1"/>
      <w:w w:val="100"/>
      <w:position w:val="-1"/>
      <w:sz w:val="28"/>
      <w:szCs w:val="28"/>
      <w:effect w:val="none"/>
      <w:vertAlign w:val="baseline"/>
      <w:cs w:val="0"/>
      <w:em w:val="none"/>
      <w:lang/>
    </w:rPr>
  </w:style>
  <w:style w:type="paragraph" w:styleId="Абзацсписку">
    <w:name w:val="Абзац списку"/>
    <w:basedOn w:val="Звичайний"/>
    <w:next w:val="Абзацсписку"/>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paragraph" w:styleId="Верхнійколонтитул">
    <w:name w:val="Верхній колонтитул"/>
    <w:basedOn w:val="Звичайний"/>
    <w:next w:val="Верх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4"/>
      <w:szCs w:val="24"/>
      <w:effect w:val="none"/>
      <w:vertAlign w:val="baseline"/>
      <w:cs w:val="0"/>
      <w:em w:val="none"/>
      <w:lang/>
    </w:rPr>
  </w:style>
  <w:style w:type="paragraph" w:styleId="Нижнійколонтитул">
    <w:name w:val="Нижній колонтитул"/>
    <w:basedOn w:val="Звичайний"/>
    <w:next w:val="Ниж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НижнійколонтитулЗнак">
    <w:name w:val="Нижній колонтитул Знак"/>
    <w:next w:val="НижнійколонтитулЗнак"/>
    <w:autoRedefine w:val="0"/>
    <w:hidden w:val="0"/>
    <w:qFormat w:val="0"/>
    <w:rPr>
      <w:w w:val="100"/>
      <w:position w:val="-1"/>
      <w:sz w:val="24"/>
      <w:szCs w:val="24"/>
      <w:effect w:val="none"/>
      <w:vertAlign w:val="baseline"/>
      <w:cs w:val="0"/>
      <w:em w:val="none"/>
      <w:lang/>
    </w:rPr>
  </w:style>
  <w:style w:type="paragraph" w:styleId="Текстувиносці">
    <w:name w:val="Текст у виносці"/>
    <w:basedOn w:val="Звичайний"/>
    <w:next w:val="Текстувиносці"/>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ТекстувиносціЗнак">
    <w:name w:val="Текст у виносці Знак"/>
    <w:next w:val="ТекстувиносціЗнак"/>
    <w:autoRedefine w:val="0"/>
    <w:hidden w:val="0"/>
    <w:qFormat w:val="0"/>
    <w:rPr>
      <w:rFonts w:ascii="Tahoma" w:cs="Tahoma" w:hAnsi="Tahoma"/>
      <w:w w:val="100"/>
      <w:position w:val="-1"/>
      <w:sz w:val="16"/>
      <w:szCs w:val="16"/>
      <w:effect w:val="none"/>
      <w:vertAlign w:val="baseline"/>
      <w:cs w:val="0"/>
      <w:em w:val="none"/>
      <w:lang/>
    </w:rPr>
  </w:style>
  <w:style w:type="paragraph" w:styleId="Основнийтекст">
    <w:name w:val="Основний текст"/>
    <w:basedOn w:val="Звичайний"/>
    <w:next w:val="Основни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k-UA"/>
    </w:rPr>
  </w:style>
  <w:style w:type="character" w:styleId="ОсновнийтекстЗнак">
    <w:name w:val="Основний текст Знак"/>
    <w:next w:val="ОсновнийтекстЗнак"/>
    <w:autoRedefine w:val="0"/>
    <w:hidden w:val="0"/>
    <w:qFormat w:val="0"/>
    <w:rPr>
      <w:w w:val="100"/>
      <w:position w:val="-1"/>
      <w:sz w:val="24"/>
      <w:szCs w:val="24"/>
      <w:effect w:val="none"/>
      <w:vertAlign w:val="baseline"/>
      <w:cs w:val="0"/>
      <w:em w:val="none"/>
      <w:lang w:val="uk-UA"/>
    </w:rPr>
  </w:style>
  <w:style w:type="paragraph" w:styleId="Основнийтекстзвідступом2">
    <w:name w:val="Основний текст з відступом 2"/>
    <w:basedOn w:val="Звичайний"/>
    <w:next w:val="Основнийтекстзвід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ийтекстзвідступом2Знак">
    <w:name w:val="Основний текст з відступом 2 Знак"/>
    <w:next w:val="Основнийтекстзвідступом2Знак"/>
    <w:autoRedefine w:val="0"/>
    <w:hidden w:val="0"/>
    <w:qFormat w:val="0"/>
    <w:rPr>
      <w:w w:val="100"/>
      <w:position w:val="-1"/>
      <w:sz w:val="24"/>
      <w:szCs w:val="24"/>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Звичайний(веб)">
    <w:name w:val="Звичайний (веб)"/>
    <w:basedOn w:val="Звичайний"/>
    <w:next w:val="Звичайни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FontStyle15">
    <w:name w:val="Font Style15"/>
    <w:next w:val="FontStyle15"/>
    <w:autoRedefine w:val="0"/>
    <w:hidden w:val="0"/>
    <w:qFormat w:val="0"/>
    <w:rPr>
      <w:rFonts w:ascii="Times New Roman" w:cs="Times New Roman" w:hAnsi="Times New Roman" w:hint="default"/>
      <w:w w:val="100"/>
      <w:position w:val="-1"/>
      <w:sz w:val="26"/>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заголовок2">
    <w:name w:val="заголовок 2"/>
    <w:basedOn w:val="Звичайний"/>
    <w:next w:val="Звичайни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table" w:styleId="Сіткатаблиці">
    <w:name w:val="Сітка таблиці"/>
    <w:basedOn w:val="Звичайнатаблиця"/>
    <w:next w:val="Сіткатаблиці"/>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іткатаблиці"/>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rvps2">
    <w:name w:val="rvps2"/>
    <w:basedOn w:val="Звичайни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9">
    <w:name w:val="rvts9"/>
    <w:basedOn w:val="Шрифтабзацузазамовчуванням"/>
    <w:next w:val="rvts9"/>
    <w:autoRedefine w:val="0"/>
    <w:hidden w:val="0"/>
    <w:qFormat w:val="0"/>
    <w:rPr>
      <w:w w:val="100"/>
      <w:position w:val="-1"/>
      <w:effect w:val="none"/>
      <w:vertAlign w:val="baseline"/>
      <w:cs w:val="0"/>
      <w:em w:val="none"/>
      <w:lang/>
    </w:rPr>
  </w:style>
  <w:style w:type="paragraph" w:styleId="rvps31">
    <w:name w:val="rvps31"/>
    <w:basedOn w:val="Звичайний"/>
    <w:next w:val="rvps3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7">
    <w:name w:val="rvts7"/>
    <w:basedOn w:val="Шрифтабзацузазамовчуванням"/>
    <w:next w:val="rvts7"/>
    <w:autoRedefine w:val="0"/>
    <w:hidden w:val="0"/>
    <w:qFormat w:val="0"/>
    <w:rPr>
      <w:w w:val="100"/>
      <w:position w:val="-1"/>
      <w:effect w:val="none"/>
      <w:vertAlign w:val="baseline"/>
      <w:cs w:val="0"/>
      <w:em w:val="none"/>
      <w:lang/>
    </w:rPr>
  </w:style>
  <w:style w:type="paragraph" w:styleId="rvps148">
    <w:name w:val="rvps148"/>
    <w:basedOn w:val="Звичайний"/>
    <w:next w:val="rvps148"/>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10">
    <w:name w:val="rvts10"/>
    <w:next w:val="rvts10"/>
    <w:autoRedefine w:val="0"/>
    <w:hidden w:val="0"/>
    <w:qFormat w:val="0"/>
    <w:rPr>
      <w:w w:val="100"/>
      <w:position w:val="-1"/>
      <w:effect w:val="none"/>
      <w:vertAlign w:val="baseline"/>
      <w:cs w:val="0"/>
      <w:em w:val="none"/>
      <w:lang/>
    </w:rPr>
  </w:style>
  <w:style w:type="paragraph" w:styleId="rvps7">
    <w:name w:val="rvps7"/>
    <w:basedOn w:val="Звичайний"/>
    <w:next w:val="rvps7"/>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49">
    <w:name w:val="rvps149"/>
    <w:basedOn w:val="Звичайний"/>
    <w:next w:val="rvps149"/>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0">
    <w:name w:val="rvps150"/>
    <w:basedOn w:val="Звичайний"/>
    <w:next w:val="rvps150"/>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12">
    <w:name w:val="rvts12"/>
    <w:next w:val="rvts12"/>
    <w:autoRedefine w:val="0"/>
    <w:hidden w:val="0"/>
    <w:qFormat w:val="0"/>
    <w:rPr>
      <w:w w:val="100"/>
      <w:position w:val="-1"/>
      <w:effect w:val="none"/>
      <w:vertAlign w:val="baseline"/>
      <w:cs w:val="0"/>
      <w:em w:val="none"/>
      <w:lang/>
    </w:rPr>
  </w:style>
  <w:style w:type="paragraph" w:styleId="rvps151">
    <w:name w:val="rvps151"/>
    <w:basedOn w:val="Звичайний"/>
    <w:next w:val="rvps15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2">
    <w:name w:val="rvps152"/>
    <w:basedOn w:val="Звичайний"/>
    <w:next w:val="rvps15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153">
    <w:name w:val="rvps153"/>
    <w:basedOn w:val="Звичайний"/>
    <w:next w:val="rvps153"/>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rvps206">
    <w:name w:val="rvps206"/>
    <w:basedOn w:val="Звичайний"/>
    <w:next w:val="rvps206"/>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БезінтервалівЗнак">
    <w:name w:val="Без інтервалів Знак"/>
    <w:next w:val="БезінтервалівЗнак"/>
    <w:autoRedefine w:val="0"/>
    <w:hidden w:val="0"/>
    <w:qFormat w:val="0"/>
    <w:rPr>
      <w:w w:val="100"/>
      <w:position w:val="-1"/>
      <w:sz w:val="24"/>
      <w:szCs w:val="24"/>
      <w:effect w:val="none"/>
      <w:vertAlign w:val="baseline"/>
      <w:cs w:val="0"/>
      <w:em w:val="none"/>
      <w:lang w:eastAsia="ru-RU" w:val="ru-RU"/>
    </w:rPr>
  </w:style>
  <w:style w:type="paragraph" w:styleId="Безінтервалів1">
    <w:name w:val="Без інтервалів1"/>
    <w:next w:val="Безінтервалів1"/>
    <w:autoRedefine w:val="0"/>
    <w:hidden w:val="0"/>
    <w:qFormat w:val="0"/>
    <w:pPr>
      <w:suppressAutoHyphens w:val="0"/>
      <w:spacing w:line="1" w:lineRule="atLeast"/>
      <w:ind w:leftChars="-1" w:rightChars="0"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zh-CN"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xbrZt/bxmD4/lfJLqaABNsJgYw==">AMUW2mXMZGMvg7bIFLONc+FO1s6Q0OTf4MXOqP6avRdenaAkqYcVGawCiVskOp/MRww4/Geair08OkqJzjg+qf1qe/koYAHR4Ww3J79xZeit6icSaWKJvI0=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2021-02-03T13:10:00Z</dcterms:created>
  <dc:creator>Идеал</dc:creator>
</cp:coreProperties>
</file>